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BA8" w:rsidRPr="00B37D60" w:rsidRDefault="00782BA8" w:rsidP="00CF6561">
      <w:pPr>
        <w:pStyle w:val="Heading3"/>
      </w:pPr>
      <w:r w:rsidRPr="00782BA8">
        <w:rPr>
          <w:rFonts w:eastAsia="Times New Roman"/>
          <w:rtl/>
          <w:lang w:val="en-US"/>
        </w:rPr>
        <w:t xml:space="preserve">بعض الأسئلة </w:t>
      </w:r>
      <w:r w:rsidRPr="00B37D60">
        <w:rPr>
          <w:rtl/>
        </w:rPr>
        <w:t>المتداولة حول الميثاق الإنساني</w:t>
      </w:r>
    </w:p>
    <w:p w:rsidR="00782BA8" w:rsidRPr="00B37D60" w:rsidRDefault="00782BA8" w:rsidP="00F52E88">
      <w:pPr>
        <w:pStyle w:val="Heading4"/>
        <w:rPr>
          <w:rtl/>
        </w:rPr>
      </w:pPr>
      <w:proofErr w:type="spellStart"/>
      <w:r w:rsidRPr="00B37D60">
        <w:rPr>
          <w:rtl/>
        </w:rPr>
        <w:t>ماهو</w:t>
      </w:r>
      <w:proofErr w:type="spellEnd"/>
      <w:r w:rsidRPr="00B37D60">
        <w:rPr>
          <w:rtl/>
        </w:rPr>
        <w:t xml:space="preserve"> النهج القائم على الحقوق؟</w:t>
      </w:r>
    </w:p>
    <w:p w:rsidR="00782BA8" w:rsidRPr="00B37D60" w:rsidRDefault="00782BA8" w:rsidP="00B94FEB">
      <w:proofErr w:type="gramStart"/>
      <w:r w:rsidRPr="00B37D60">
        <w:rPr>
          <w:rtl/>
        </w:rPr>
        <w:t>عند</w:t>
      </w:r>
      <w:proofErr w:type="gramEnd"/>
      <w:r w:rsidRPr="00B37D60">
        <w:rPr>
          <w:rtl/>
        </w:rPr>
        <w:t xml:space="preserve"> </w:t>
      </w:r>
      <w:r w:rsidR="00B94FEB">
        <w:rPr>
          <w:rFonts w:hint="cs"/>
          <w:rtl/>
        </w:rPr>
        <w:t>وقوع</w:t>
      </w:r>
      <w:r w:rsidRPr="00B37D60">
        <w:rPr>
          <w:rtl/>
        </w:rPr>
        <w:t xml:space="preserve"> أزمة إنسانية</w:t>
      </w:r>
      <w:r w:rsidR="00B94FEB">
        <w:rPr>
          <w:rFonts w:hint="cs"/>
          <w:rtl/>
        </w:rPr>
        <w:t>،</w:t>
      </w:r>
      <w:r w:rsidRPr="00B37D60">
        <w:rPr>
          <w:rtl/>
        </w:rPr>
        <w:t xml:space="preserve"> تساعد الأسئلة الأساسية على توجيه النهج القائم على الحقوق في التدخل الإنساني:</w:t>
      </w:r>
    </w:p>
    <w:p w:rsidR="00782BA8" w:rsidRPr="00B37D60" w:rsidRDefault="00782BA8" w:rsidP="00CF6561">
      <w:pPr>
        <w:pStyle w:val="bullet"/>
      </w:pPr>
      <w:r w:rsidRPr="00B37D60">
        <w:rPr>
          <w:rtl/>
        </w:rPr>
        <w:t>ماهي الحقوق التي تمتع بها الناس؟</w:t>
      </w:r>
    </w:p>
    <w:p w:rsidR="00782BA8" w:rsidRPr="00B37D60" w:rsidRDefault="00782BA8" w:rsidP="00CF6561">
      <w:pPr>
        <w:pStyle w:val="bullet"/>
      </w:pPr>
      <w:r w:rsidRPr="00B37D60">
        <w:rPr>
          <w:rtl/>
        </w:rPr>
        <w:t>ماهي الحقوق التي بدأ الناس في فقدانها؟</w:t>
      </w:r>
    </w:p>
    <w:p w:rsidR="00782BA8" w:rsidRPr="00B37D60" w:rsidRDefault="00782BA8" w:rsidP="00CF6561">
      <w:pPr>
        <w:pStyle w:val="bullet"/>
      </w:pPr>
      <w:r w:rsidRPr="00B37D60">
        <w:rPr>
          <w:rtl/>
        </w:rPr>
        <w:t>ماهي الفرص المتاحة ليحض الناس بحقوقهم؟</w:t>
      </w:r>
      <w:r w:rsidRPr="00826394">
        <w:rPr>
          <w:rStyle w:val="FootnoteReference"/>
          <w:rtl/>
        </w:rPr>
        <w:footnoteReference w:id="1"/>
      </w:r>
    </w:p>
    <w:p w:rsidR="00782BA8" w:rsidRPr="00B37D60" w:rsidRDefault="00782BA8" w:rsidP="00B37D60">
      <w:r w:rsidRPr="00B37D60">
        <w:rPr>
          <w:rtl/>
        </w:rPr>
        <w:t>يحدد النهج القائم على الحقوق أصحاب الحقوق وحاجياتهم ويحدد في المقابل واجبات المسؤولين على حماية هذه الحقوق والتزاماتهم. كما يعمل على تعزيز قدرات أصحاب الحقوق لتقديم مطالبهم وعلى المكلف</w:t>
      </w:r>
      <w:r w:rsidRPr="00B37D60">
        <w:rPr>
          <w:rFonts w:hint="cs"/>
          <w:rtl/>
        </w:rPr>
        <w:t>ين</w:t>
      </w:r>
      <w:r w:rsidRPr="00B37D60">
        <w:rPr>
          <w:rtl/>
        </w:rPr>
        <w:t xml:space="preserve"> بالمسؤولية الوفاء بالتزاماتهم.</w:t>
      </w:r>
      <w:r w:rsidRPr="00826394">
        <w:rPr>
          <w:rStyle w:val="FootnoteReference"/>
          <w:rtl/>
        </w:rPr>
        <w:footnoteReference w:id="2"/>
      </w:r>
    </w:p>
    <w:p w:rsidR="00782BA8" w:rsidRPr="00B37D60" w:rsidRDefault="00782BA8" w:rsidP="00B37D60">
      <w:pPr>
        <w:rPr>
          <w:rtl/>
        </w:rPr>
      </w:pPr>
      <w:r w:rsidRPr="00B37D60">
        <w:rPr>
          <w:rtl/>
        </w:rPr>
        <w:t>الميثاق الإنساني في هذا السياق</w:t>
      </w:r>
      <w:r w:rsidRPr="00B37D60">
        <w:rPr>
          <w:rFonts w:hint="cs"/>
          <w:rtl/>
        </w:rPr>
        <w:t>،</w:t>
      </w:r>
      <w:r w:rsidRPr="00B37D60">
        <w:rPr>
          <w:rtl/>
        </w:rPr>
        <w:t xml:space="preserve"> هو النهج القائم على الحقوق في التدخل الإنساني: </w:t>
      </w:r>
      <w:proofErr w:type="gramStart"/>
      <w:r w:rsidRPr="00B37D60">
        <w:rPr>
          <w:rtl/>
        </w:rPr>
        <w:t>فهو</w:t>
      </w:r>
      <w:proofErr w:type="gramEnd"/>
      <w:r w:rsidRPr="00B37D60">
        <w:rPr>
          <w:rtl/>
        </w:rPr>
        <w:t xml:space="preserve"> يحدد حقوق الشعوب المتضررة ويسلط الضوء على الواجب القانوني للدولة بصفتها المسؤول الأول على حماية هذه الحقوق إضافة إلى التركيز على الواجب الأخلاقي للوكالات الإنسانية تجاه الشعوب المتضررة.</w:t>
      </w:r>
    </w:p>
    <w:p w:rsidR="00782BA8" w:rsidRPr="00B37D60" w:rsidRDefault="00782BA8" w:rsidP="00C542B4">
      <w:pPr>
        <w:rPr>
          <w:rtl/>
        </w:rPr>
      </w:pPr>
      <w:r w:rsidRPr="00B37D60">
        <w:rPr>
          <w:rtl/>
        </w:rPr>
        <w:t>يمكن استخدام الميثاق الإنساني للدعاية مع الدولة والوكالات الإنسانية للوفاء بالتزاماته</w:t>
      </w:r>
      <w:r w:rsidRPr="00B37D60">
        <w:rPr>
          <w:rFonts w:hint="cs"/>
          <w:rtl/>
        </w:rPr>
        <w:t>ا</w:t>
      </w:r>
      <w:r w:rsidRPr="00B37D60">
        <w:rPr>
          <w:rtl/>
        </w:rPr>
        <w:t xml:space="preserve"> القانونية </w:t>
      </w:r>
      <w:proofErr w:type="gramStart"/>
      <w:r w:rsidRPr="00B37D60">
        <w:rPr>
          <w:rtl/>
        </w:rPr>
        <w:t>والأخلاقية</w:t>
      </w:r>
      <w:proofErr w:type="gramEnd"/>
      <w:r w:rsidRPr="00B37D60">
        <w:rPr>
          <w:rtl/>
        </w:rPr>
        <w:t>.</w:t>
      </w:r>
    </w:p>
    <w:p w:rsidR="00782BA8" w:rsidRPr="00B37D60" w:rsidRDefault="00782BA8" w:rsidP="00F64B8E">
      <w:pPr>
        <w:pStyle w:val="Heading4"/>
        <w:tabs>
          <w:tab w:val="clear" w:pos="9356"/>
        </w:tabs>
        <w:ind w:right="-284"/>
      </w:pPr>
      <w:proofErr w:type="gramStart"/>
      <w:r w:rsidRPr="00B37D60">
        <w:rPr>
          <w:rtl/>
        </w:rPr>
        <w:t>الميثاق</w:t>
      </w:r>
      <w:proofErr w:type="gramEnd"/>
      <w:r w:rsidRPr="00B37D60">
        <w:rPr>
          <w:rtl/>
        </w:rPr>
        <w:t xml:space="preserve"> الإنساني هو النهج القائم على الحقوق ولكن يذكر أيضا أن المساعدة ستكون بناء على الحاجيات وبما يتناسب مع</w:t>
      </w:r>
      <w:r w:rsidRPr="00B37D60">
        <w:rPr>
          <w:rFonts w:hint="cs"/>
          <w:rtl/>
        </w:rPr>
        <w:t>ها.</w:t>
      </w:r>
    </w:p>
    <w:p w:rsidR="00782BA8" w:rsidRPr="00B37D60" w:rsidRDefault="00782BA8" w:rsidP="00B37D60">
      <w:pPr>
        <w:rPr>
          <w:rtl/>
        </w:rPr>
      </w:pPr>
      <w:r w:rsidRPr="00B37D60">
        <w:rPr>
          <w:rtl/>
        </w:rPr>
        <w:t>في حين أن الاختلاف بين النهج القائم على الحقوق والنهج القائم على الاحتياجات يعود في كثير من الأحيان إلى الاختلاف النوعي بين البيانات المتعلقة بالحقوق والبيانات المتعلقة بالاحتياجات -ولكن لا معني للتعارض بينهما- البيانات المتعلقة بالحاجة (أو</w:t>
      </w:r>
      <w:r w:rsidRPr="00B37D60">
        <w:rPr>
          <w:rFonts w:hint="cs"/>
          <w:rtl/>
        </w:rPr>
        <w:t>،</w:t>
      </w:r>
      <w:r w:rsidRPr="00B37D60">
        <w:rPr>
          <w:rtl/>
        </w:rPr>
        <w:t xml:space="preserve"> أفضل</w:t>
      </w:r>
      <w:r w:rsidRPr="00B37D60">
        <w:rPr>
          <w:rFonts w:hint="cs"/>
          <w:rtl/>
        </w:rPr>
        <w:t>،</w:t>
      </w:r>
      <w:r w:rsidRPr="00B37D60">
        <w:rPr>
          <w:rtl/>
        </w:rPr>
        <w:t xml:space="preserve"> المخاطر) قد تكون ضرورية لتحديد ماهية البرمجة وهو في حد ذاته قيمة محايدة وليس بيانا أخلاقيا.</w:t>
      </w:r>
    </w:p>
    <w:p w:rsidR="00782BA8" w:rsidRPr="00B37D60" w:rsidRDefault="00782BA8" w:rsidP="00B37D60">
      <w:pPr>
        <w:rPr>
          <w:rtl/>
        </w:rPr>
      </w:pPr>
      <w:r w:rsidRPr="00B37D60">
        <w:rPr>
          <w:rtl/>
        </w:rPr>
        <w:t>البيانات المتعلقة بالحقوق تشمل الاستحقاقات الأخلاقية (وربما القانونية) وتعتبر مهمة لتحديد المسؤوليات ذات الصلة فيما يتعلق بالاستحقاقات الحقوقية.</w:t>
      </w:r>
    </w:p>
    <w:p w:rsidR="00782BA8" w:rsidRPr="00B37D60" w:rsidRDefault="00782BA8" w:rsidP="00B37D60">
      <w:pPr>
        <w:rPr>
          <w:rtl/>
        </w:rPr>
      </w:pPr>
      <w:r w:rsidRPr="00B37D60">
        <w:rPr>
          <w:rtl/>
        </w:rPr>
        <w:t xml:space="preserve">مشروع </w:t>
      </w:r>
      <w:proofErr w:type="spellStart"/>
      <w:r w:rsidRPr="00B37D60">
        <w:rPr>
          <w:rtl/>
        </w:rPr>
        <w:t>اسفير</w:t>
      </w:r>
      <w:proofErr w:type="spellEnd"/>
      <w:r w:rsidRPr="00B37D60">
        <w:rPr>
          <w:rtl/>
        </w:rPr>
        <w:t xml:space="preserve"> هو محاولة للتوفيق بين الاثنين والجمع بين القوة الأخلاقية والقانونية لبيانات الحقوق مع خصوصية بيانات الاحتياجات.</w:t>
      </w:r>
      <w:r w:rsidRPr="00826394">
        <w:rPr>
          <w:rStyle w:val="FootnoteReference"/>
          <w:rtl/>
        </w:rPr>
        <w:footnoteReference w:id="3"/>
      </w:r>
    </w:p>
    <w:p w:rsidR="00782BA8" w:rsidRPr="00B37D60" w:rsidRDefault="00782BA8" w:rsidP="00F52E88">
      <w:pPr>
        <w:pStyle w:val="Heading4"/>
      </w:pPr>
      <w:proofErr w:type="gramStart"/>
      <w:r w:rsidRPr="00B37D60">
        <w:rPr>
          <w:rtl/>
        </w:rPr>
        <w:lastRenderedPageBreak/>
        <w:t>لماذا</w:t>
      </w:r>
      <w:proofErr w:type="gramEnd"/>
      <w:r w:rsidRPr="00B37D60">
        <w:rPr>
          <w:rtl/>
        </w:rPr>
        <w:t xml:space="preserve"> لا يعتبر مبدأ الحياد واحدا من المبادئ الأخلاقية للميثاق الإنساني؟</w:t>
      </w:r>
    </w:p>
    <w:p w:rsidR="00782BA8" w:rsidRPr="00782BA8" w:rsidRDefault="00782BA8" w:rsidP="00B37D60">
      <w:pPr>
        <w:rPr>
          <w:rtl/>
          <w:lang w:val="fr-FR" w:bidi="ar-TN"/>
        </w:rPr>
      </w:pPr>
      <w:r w:rsidRPr="00B37D60">
        <w:rPr>
          <w:rtl/>
        </w:rPr>
        <w:t xml:space="preserve">لأن الحياد يشير أساسا إلى المواقف المتخذة فيما يتعلق بأطراف </w:t>
      </w:r>
      <w:proofErr w:type="gramStart"/>
      <w:r w:rsidRPr="00B37D60">
        <w:rPr>
          <w:rtl/>
        </w:rPr>
        <w:t>النزاع</w:t>
      </w:r>
      <w:proofErr w:type="gramEnd"/>
      <w:r w:rsidRPr="00B37D60">
        <w:rPr>
          <w:rtl/>
        </w:rPr>
        <w:t xml:space="preserve"> المسلح. </w:t>
      </w:r>
      <w:proofErr w:type="gramStart"/>
      <w:r w:rsidRPr="00B37D60">
        <w:rPr>
          <w:rtl/>
        </w:rPr>
        <w:t>بينما</w:t>
      </w:r>
      <w:proofErr w:type="gramEnd"/>
      <w:r w:rsidRPr="00B37D60">
        <w:rPr>
          <w:rtl/>
        </w:rPr>
        <w:t xml:space="preserve"> تتفق الوكالات الإنسانية على وجوب أن تكون المساعدات غير متحيزة ومستقلة عن الحكومات و جماعات المصالح. انهم يريدون في كثير من الأحيان المشاركة في الحملات والنشاطات التي ليست بالضرورة محايدة بالمعنى الدقيق للكلمة. كلمة </w:t>
      </w:r>
      <w:r w:rsidRPr="00B37D60">
        <w:t>“</w:t>
      </w:r>
      <w:r w:rsidRPr="00B37D60">
        <w:rPr>
          <w:rtl/>
        </w:rPr>
        <w:t>غير متحزبة " تجسد فكرة أن لا تكون الوكالات تابعة لحزب سياسي إذا لا يطالب منهم اتخاذ موقف محايد, على سبيل المثال, يصر احد أطراف النزاع على الرفض بشكل منهجي وصول المساعدات الإنسانية و</w:t>
      </w:r>
      <w:r w:rsidRPr="00B37D60">
        <w:t>/</w:t>
      </w:r>
      <w:r w:rsidRPr="00B37D60">
        <w:rPr>
          <w:rtl/>
        </w:rPr>
        <w:t>أو يرتكب نشاطات</w:t>
      </w:r>
      <w:r w:rsidRPr="00782BA8">
        <w:rPr>
          <w:rtl/>
          <w:lang w:val="fr-FR" w:bidi="ar-TN"/>
        </w:rPr>
        <w:t xml:space="preserve"> تنتهك حقوق الانسان. </w:t>
      </w:r>
    </w:p>
    <w:p w:rsidR="00782BA8" w:rsidRPr="00B37D60" w:rsidRDefault="00782BA8" w:rsidP="00F52E88">
      <w:pPr>
        <w:pStyle w:val="Heading4"/>
        <w:rPr>
          <w:rtl/>
        </w:rPr>
      </w:pPr>
      <w:r w:rsidRPr="00782BA8">
        <w:rPr>
          <w:rtl/>
          <w:lang w:val="en-US"/>
        </w:rPr>
        <w:t xml:space="preserve">ما هو </w:t>
      </w:r>
      <w:proofErr w:type="gramStart"/>
      <w:r w:rsidRPr="00782BA8">
        <w:rPr>
          <w:rtl/>
          <w:lang w:val="en-US"/>
        </w:rPr>
        <w:t>الفرق</w:t>
      </w:r>
      <w:proofErr w:type="gramEnd"/>
      <w:r w:rsidRPr="00782BA8">
        <w:rPr>
          <w:rtl/>
          <w:lang w:val="en-US"/>
        </w:rPr>
        <w:t xml:space="preserve"> بين الموضوعية وعدم التمييز؟</w:t>
      </w:r>
    </w:p>
    <w:p w:rsidR="00782BA8" w:rsidRPr="00B37D60" w:rsidRDefault="00782BA8" w:rsidP="00B37D60">
      <w:r w:rsidRPr="00B37D60">
        <w:rPr>
          <w:rtl/>
        </w:rPr>
        <w:t xml:space="preserve">يقول جان </w:t>
      </w:r>
      <w:proofErr w:type="spellStart"/>
      <w:r w:rsidRPr="00B37D60">
        <w:rPr>
          <w:rtl/>
        </w:rPr>
        <w:t>بيكتيت</w:t>
      </w:r>
      <w:proofErr w:type="spellEnd"/>
      <w:r w:rsidRPr="00B37D60">
        <w:rPr>
          <w:rtl/>
        </w:rPr>
        <w:t xml:space="preserve"> مختص في مبادئ الصليب الأحمر  أن 'كل</w:t>
      </w:r>
      <w:r w:rsidRPr="00B37D60">
        <w:rPr>
          <w:rFonts w:hint="cs"/>
          <w:rtl/>
        </w:rPr>
        <w:t>ا</w:t>
      </w:r>
      <w:r w:rsidRPr="00B37D60">
        <w:rPr>
          <w:rtl/>
        </w:rPr>
        <w:t xml:space="preserve"> من مفهوم الموضوعية وعدم التمييز راسخة بشكل واضح' ويميز بين  ثلاثة مفاهيم في مبدأ الموضوعية: عدم التمييز والتناسب والموضوعية في حد ذاتها. </w:t>
      </w:r>
    </w:p>
    <w:p w:rsidR="001B2A14" w:rsidRDefault="00782BA8" w:rsidP="00B37D60">
      <w:pPr>
        <w:rPr>
          <w:sz w:val="28"/>
          <w:lang w:val="en-US"/>
        </w:rPr>
      </w:pPr>
      <w:r w:rsidRPr="00B37D60">
        <w:rPr>
          <w:rtl/>
        </w:rPr>
        <w:t xml:space="preserve">عدم التمييز هو </w:t>
      </w:r>
      <w:proofErr w:type="gramStart"/>
      <w:r w:rsidRPr="00B37D60">
        <w:rPr>
          <w:rtl/>
        </w:rPr>
        <w:t>عدم</w:t>
      </w:r>
      <w:proofErr w:type="gramEnd"/>
      <w:r w:rsidRPr="00B37D60">
        <w:rPr>
          <w:rtl/>
        </w:rPr>
        <w:t xml:space="preserve"> وجود أي تمييز موضوعي بسبب العرق أو </w:t>
      </w:r>
      <w:r w:rsidRPr="00B37D60">
        <w:rPr>
          <w:rFonts w:hint="cs"/>
          <w:rtl/>
        </w:rPr>
        <w:t>الانتماء</w:t>
      </w:r>
      <w:r w:rsidRPr="00B37D60">
        <w:rPr>
          <w:rtl/>
        </w:rPr>
        <w:t xml:space="preserve"> الحزبي أو المعتقد الديني.. التناسب يعني أن أي شخص يحتاج إلى المساعدة فهو يحصل عليها وفقا لاحتياجاته والموضوعية تعني أن لا يكون هناك أي تمييز ذاتي بين أولئك الذين يعانون </w:t>
      </w:r>
      <w:r w:rsidRPr="00B37D60">
        <w:rPr>
          <w:rFonts w:hint="cs"/>
          <w:rtl/>
        </w:rPr>
        <w:t>ف</w:t>
      </w:r>
      <w:r w:rsidRPr="00B37D60">
        <w:rPr>
          <w:rtl/>
        </w:rPr>
        <w:t>الكل لديهم</w:t>
      </w:r>
      <w:r w:rsidRPr="00782BA8">
        <w:rPr>
          <w:sz w:val="28"/>
          <w:rtl/>
          <w:lang w:val="en-US"/>
        </w:rPr>
        <w:t xml:space="preserve"> الحق في أن تقدم لهم المساندة سواء الضحايا الأبرياء أو المسؤولون عن الجرائم السابقة.</w:t>
      </w:r>
    </w:p>
    <w:p w:rsidR="003D2462" w:rsidRDefault="003D2462" w:rsidP="00B37D60">
      <w:pPr>
        <w:rPr>
          <w:sz w:val="28"/>
          <w:lang w:val="en-US"/>
        </w:rPr>
      </w:pPr>
    </w:p>
    <w:p w:rsidR="003D2462" w:rsidRDefault="003D2462" w:rsidP="00B37D60">
      <w:pPr>
        <w:rPr>
          <w:sz w:val="28"/>
          <w:lang w:val="en-US"/>
        </w:rPr>
      </w:pPr>
    </w:p>
    <w:p w:rsidR="003D2462" w:rsidRPr="00B94FEB" w:rsidRDefault="003D2462" w:rsidP="00B37D60">
      <w:pPr>
        <w:rPr>
          <w:sz w:val="28"/>
          <w:lang w:val="fr-CH"/>
        </w:rPr>
        <w:sectPr w:rsidR="003D2462" w:rsidRPr="00B94FEB" w:rsidSect="00B37D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247" w:bottom="851" w:left="1247" w:header="709" w:footer="454" w:gutter="0"/>
          <w:cols w:space="708"/>
          <w:titlePg/>
          <w:docGrid w:linePitch="360"/>
        </w:sectPr>
      </w:pPr>
    </w:p>
    <w:p w:rsidR="003D2462" w:rsidRDefault="00793E28" w:rsidP="00B37D60">
      <w:pPr>
        <w:rPr>
          <w:sz w:val="28"/>
          <w:lang w:val="en-US"/>
        </w:rPr>
      </w:pPr>
      <w:r>
        <w:rPr>
          <w:noProof/>
          <w:sz w:val="28"/>
          <w:lang w:val="fr-CH" w:eastAsia="fr-CH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16090</wp:posOffset>
            </wp:positionH>
            <wp:positionV relativeFrom="paragraph">
              <wp:posOffset>134438</wp:posOffset>
            </wp:positionV>
            <wp:extent cx="7849589" cy="58732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60E131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9589" cy="5873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2462" w:rsidRDefault="00B34CF8" w:rsidP="00B37D60">
      <w:pPr>
        <w:rPr>
          <w:sz w:val="28"/>
          <w:lang w:val="en-US"/>
        </w:rPr>
      </w:pPr>
      <w:r>
        <w:rPr>
          <w:b/>
          <w:noProof/>
          <w:lang w:val="en-US" w:eastAsia="en-US"/>
        </w:rPr>
        <w:pict>
          <v:rect id="Content Placeholder 5" o:spid="_x0000_s1026" style="position:absolute;left:0;text-align:left;margin-left:632.4pt;margin-top:337.9pt;width:97.2pt;height:92.55pt;z-index:251665408;visibility:visible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" filled="f" stroked="f">
            <v:path arrowok="t"/>
            <o:lock v:ext="edit" grouping="t"/>
            <v:textbox>
              <w:txbxContent>
                <w:p w:rsidR="00793E28" w:rsidRPr="00793E28" w:rsidRDefault="00793E28" w:rsidP="00793E28">
                  <w:pPr>
                    <w:spacing w:before="0"/>
                    <w:rPr>
                      <w:i/>
                      <w:iCs/>
                      <w:szCs w:val="24"/>
                      <w:lang w:bidi="ar-TN"/>
                    </w:rPr>
                  </w:pPr>
                  <w:r w:rsidRPr="00793E28">
                    <w:rPr>
                      <w:rFonts w:hint="cs"/>
                      <w:i/>
                      <w:iCs/>
                      <w:szCs w:val="24"/>
                      <w:rtl/>
                      <w:lang w:bidi="ar-TN"/>
                    </w:rPr>
                    <w:t xml:space="preserve">المصدر: دورة تدريبية تابعة </w:t>
                  </w:r>
                  <w:proofErr w:type="spellStart"/>
                  <w:r w:rsidRPr="00793E28">
                    <w:rPr>
                      <w:rFonts w:hint="cs"/>
                      <w:i/>
                      <w:iCs/>
                      <w:szCs w:val="24"/>
                      <w:rtl/>
                      <w:lang w:bidi="ar-TN"/>
                    </w:rPr>
                    <w:t>لللجنة</w:t>
                  </w:r>
                  <w:proofErr w:type="spellEnd"/>
                  <w:r w:rsidRPr="00793E28">
                    <w:rPr>
                      <w:rFonts w:hint="cs"/>
                      <w:i/>
                      <w:iCs/>
                      <w:szCs w:val="24"/>
                      <w:rtl/>
                      <w:lang w:bidi="ar-TN"/>
                    </w:rPr>
                    <w:t xml:space="preserve"> الدولية للصليب الأحمر حول القانون الإنساني الدولي</w:t>
                  </w:r>
                </w:p>
              </w:txbxContent>
            </v:textbox>
            <w10:wrap type="through"/>
          </v:rect>
        </w:pict>
      </w:r>
      <w:r w:rsidR="003D2462">
        <w:rPr>
          <w:sz w:val="28"/>
          <w:lang w:val="en-US"/>
        </w:rPr>
        <w:br w:type="page"/>
      </w:r>
    </w:p>
    <w:p w:rsidR="003D2462" w:rsidRPr="00B37D60" w:rsidRDefault="00B34CF8" w:rsidP="00B37D60">
      <w:pPr>
        <w:rPr>
          <w:sz w:val="28"/>
          <w:lang w:val="en-US"/>
        </w:rPr>
      </w:pPr>
      <w:r>
        <w:rPr>
          <w:b/>
          <w:noProof/>
          <w:lang w:val="en-US" w:eastAsia="en-US"/>
        </w:rPr>
        <w:lastRenderedPageBreak/>
        <w:pict>
          <v:rect id="_x0000_s1027" style="position:absolute;left:0;text-align:left;margin-left:639.85pt;margin-top:374.55pt;width:88.8pt;height:86pt;z-index:251661312;visibility:visible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" filled="f" stroked="f">
            <v:path arrowok="t"/>
            <o:lock v:ext="edit" grouping="t"/>
            <v:textbox>
              <w:txbxContent>
                <w:p w:rsidR="000C5E6F" w:rsidRPr="00793E28" w:rsidRDefault="000C5E6F" w:rsidP="00793E28">
                  <w:pPr>
                    <w:spacing w:before="0"/>
                    <w:rPr>
                      <w:i/>
                      <w:iCs/>
                      <w:szCs w:val="24"/>
                      <w:lang w:bidi="ar-TN"/>
                    </w:rPr>
                  </w:pPr>
                  <w:r w:rsidRPr="00793E28">
                    <w:rPr>
                      <w:i/>
                      <w:iCs/>
                      <w:szCs w:val="24"/>
                      <w:rtl/>
                      <w:lang w:bidi="ar-TN"/>
                    </w:rPr>
                    <w:t xml:space="preserve">المصدر: دورة تدريبية تابعة </w:t>
                  </w:r>
                  <w:proofErr w:type="spellStart"/>
                  <w:r w:rsidRPr="00793E28">
                    <w:rPr>
                      <w:i/>
                      <w:iCs/>
                      <w:szCs w:val="24"/>
                      <w:rtl/>
                      <w:lang w:bidi="ar-TN"/>
                    </w:rPr>
                    <w:t>لللجنة</w:t>
                  </w:r>
                  <w:proofErr w:type="spellEnd"/>
                  <w:r w:rsidRPr="00793E28">
                    <w:rPr>
                      <w:i/>
                      <w:iCs/>
                      <w:szCs w:val="24"/>
                      <w:rtl/>
                      <w:lang w:bidi="ar-TN"/>
                    </w:rPr>
                    <w:t xml:space="preserve"> الدولية للصليب الأحمر حول القانون الإنساني الدولي</w:t>
                  </w:r>
                </w:p>
              </w:txbxContent>
            </v:textbox>
            <w10:wrap type="through"/>
          </v:rect>
        </w:pict>
      </w:r>
      <w:r w:rsidR="00810A0B">
        <w:rPr>
          <w:b/>
          <w:noProof/>
          <w:lang w:val="fr-CH" w:eastAsia="fr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4171</wp:posOffset>
            </wp:positionH>
            <wp:positionV relativeFrom="paragraph">
              <wp:posOffset>253390</wp:posOffset>
            </wp:positionV>
            <wp:extent cx="7849589" cy="54957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602698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9589" cy="5495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D2462" w:rsidRPr="00B37D60" w:rsidSect="003D2462">
      <w:headerReference w:type="default" r:id="rId16"/>
      <w:footerReference w:type="default" r:id="rId17"/>
      <w:headerReference w:type="first" r:id="rId18"/>
      <w:footerReference w:type="first" r:id="rId19"/>
      <w:pgSz w:w="16838" w:h="11906" w:orient="landscape" w:code="9"/>
      <w:pgMar w:top="1134" w:right="1134" w:bottom="567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CF8" w:rsidRDefault="00B34CF8" w:rsidP="00782BA8">
      <w:pPr>
        <w:spacing w:before="0"/>
      </w:pPr>
      <w:r>
        <w:separator/>
      </w:r>
    </w:p>
  </w:endnote>
  <w:endnote w:type="continuationSeparator" w:id="0">
    <w:p w:rsidR="00B34CF8" w:rsidRDefault="00B34CF8" w:rsidP="00782B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E6" w:rsidRDefault="004B60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BA8" w:rsidRPr="00B37D60" w:rsidRDefault="00782BA8" w:rsidP="0052246E">
    <w:pPr>
      <w:pStyle w:val="Footer"/>
    </w:pPr>
    <w:r w:rsidRPr="00B37D60">
      <w:rPr>
        <w:szCs w:val="24"/>
        <w:rtl/>
      </w:rPr>
      <w:t>الجز</w:t>
    </w:r>
    <w:r w:rsidRPr="00B37D60">
      <w:rPr>
        <w:rFonts w:hint="cs"/>
        <w:szCs w:val="24"/>
        <w:rtl/>
      </w:rPr>
      <w:t>ء</w:t>
    </w:r>
    <w:r w:rsidRPr="00B37D60">
      <w:rPr>
        <w:szCs w:val="24"/>
        <w:rtl/>
      </w:rPr>
      <w:t xml:space="preserve"> "أ"</w:t>
    </w:r>
    <w:r w:rsidRPr="00B37D60">
      <w:rPr>
        <w:rFonts w:hint="cs"/>
        <w:szCs w:val="24"/>
        <w:rtl/>
      </w:rPr>
      <w:t>9</w:t>
    </w:r>
    <w:r w:rsidRPr="00B37D60">
      <w:rPr>
        <w:szCs w:val="24"/>
        <w:rtl/>
      </w:rPr>
      <w:t xml:space="preserve">: </w:t>
    </w:r>
    <w:proofErr w:type="spellStart"/>
    <w:r w:rsidRPr="00B37D60">
      <w:rPr>
        <w:rFonts w:hint="cs"/>
        <w:szCs w:val="24"/>
        <w:rtl/>
      </w:rPr>
      <w:t>اسفير</w:t>
    </w:r>
    <w:proofErr w:type="spellEnd"/>
    <w:r w:rsidRPr="00B37D60">
      <w:rPr>
        <w:rFonts w:hint="cs"/>
        <w:szCs w:val="24"/>
        <w:rtl/>
      </w:rPr>
      <w:t xml:space="preserve"> والميثاق الإنساني</w:t>
    </w:r>
    <w:r w:rsidR="00B37D60" w:rsidRPr="00B37D60">
      <w:tab/>
    </w:r>
    <w:r w:rsidR="0052246E" w:rsidRPr="004B60E6">
      <w:rPr>
        <w:rFonts w:hint="cs"/>
        <w:szCs w:val="24"/>
        <w:rtl/>
        <w:lang w:bidi="ar-TN"/>
      </w:rPr>
      <w:t>مجموعة</w:t>
    </w:r>
    <w:r w:rsidR="0052246E" w:rsidRPr="004B60E6">
      <w:rPr>
        <w:szCs w:val="24"/>
        <w:rtl/>
      </w:rPr>
      <w:t xml:space="preserve"> </w:t>
    </w:r>
    <w:proofErr w:type="spellStart"/>
    <w:r w:rsidR="0052246E" w:rsidRPr="004B60E6">
      <w:rPr>
        <w:szCs w:val="24"/>
        <w:rtl/>
      </w:rPr>
      <w:t>اسفير</w:t>
    </w:r>
    <w:proofErr w:type="spellEnd"/>
    <w:r w:rsidR="0052246E" w:rsidRPr="004B60E6">
      <w:rPr>
        <w:szCs w:val="24"/>
        <w:rtl/>
      </w:rPr>
      <w:t xml:space="preserve"> </w:t>
    </w:r>
    <w:r w:rsidR="0052246E" w:rsidRPr="004B60E6">
      <w:rPr>
        <w:rFonts w:hint="cs"/>
        <w:szCs w:val="24"/>
        <w:rtl/>
      </w:rPr>
      <w:t>ال</w:t>
    </w:r>
    <w:r w:rsidR="0052246E" w:rsidRPr="004B60E6">
      <w:rPr>
        <w:szCs w:val="24"/>
        <w:rtl/>
      </w:rPr>
      <w:t>تدريبية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D60" w:rsidRPr="00B37D60" w:rsidRDefault="00B37D60" w:rsidP="0052246E">
    <w:pPr>
      <w:pStyle w:val="Footer"/>
    </w:pPr>
    <w:r w:rsidRPr="00B37D60">
      <w:rPr>
        <w:szCs w:val="24"/>
        <w:rtl/>
      </w:rPr>
      <w:t>الجز</w:t>
    </w:r>
    <w:r w:rsidRPr="00B37D60">
      <w:rPr>
        <w:rFonts w:hint="cs"/>
        <w:szCs w:val="24"/>
        <w:rtl/>
      </w:rPr>
      <w:t>ء</w:t>
    </w:r>
    <w:r w:rsidRPr="00B37D60">
      <w:rPr>
        <w:szCs w:val="24"/>
        <w:rtl/>
      </w:rPr>
      <w:t xml:space="preserve"> "أ"</w:t>
    </w:r>
    <w:r w:rsidRPr="00B37D60">
      <w:rPr>
        <w:rFonts w:hint="cs"/>
        <w:szCs w:val="24"/>
        <w:rtl/>
      </w:rPr>
      <w:t>9</w:t>
    </w:r>
    <w:r w:rsidRPr="00B37D60">
      <w:rPr>
        <w:szCs w:val="24"/>
        <w:rtl/>
      </w:rPr>
      <w:t xml:space="preserve">: </w:t>
    </w:r>
    <w:proofErr w:type="spellStart"/>
    <w:r w:rsidRPr="00B37D60">
      <w:rPr>
        <w:rFonts w:hint="cs"/>
        <w:szCs w:val="24"/>
        <w:rtl/>
      </w:rPr>
      <w:t>اسفير</w:t>
    </w:r>
    <w:proofErr w:type="spellEnd"/>
    <w:r w:rsidRPr="00B37D60">
      <w:rPr>
        <w:rFonts w:hint="cs"/>
        <w:szCs w:val="24"/>
        <w:rtl/>
      </w:rPr>
      <w:t xml:space="preserve"> والميثاق الإنساني </w:t>
    </w:r>
    <w:r w:rsidRPr="00B37D60">
      <w:tab/>
    </w:r>
    <w:r w:rsidR="0052246E" w:rsidRPr="004B60E6">
      <w:rPr>
        <w:rFonts w:hint="cs"/>
        <w:szCs w:val="24"/>
        <w:rtl/>
        <w:lang w:bidi="ar-TN"/>
      </w:rPr>
      <w:t>مجموعة</w:t>
    </w:r>
    <w:r w:rsidRPr="004B60E6">
      <w:rPr>
        <w:szCs w:val="24"/>
        <w:rtl/>
      </w:rPr>
      <w:t xml:space="preserve"> </w:t>
    </w:r>
    <w:proofErr w:type="spellStart"/>
    <w:r w:rsidR="0052246E" w:rsidRPr="004B60E6">
      <w:rPr>
        <w:szCs w:val="24"/>
        <w:rtl/>
      </w:rPr>
      <w:t>اسفير</w:t>
    </w:r>
    <w:proofErr w:type="spellEnd"/>
    <w:r w:rsidR="0052246E" w:rsidRPr="004B60E6">
      <w:rPr>
        <w:szCs w:val="24"/>
        <w:rtl/>
      </w:rPr>
      <w:t xml:space="preserve"> </w:t>
    </w:r>
    <w:r w:rsidR="0052246E" w:rsidRPr="004B60E6">
      <w:rPr>
        <w:rFonts w:hint="cs"/>
        <w:szCs w:val="24"/>
        <w:rtl/>
      </w:rPr>
      <w:t>ال</w:t>
    </w:r>
    <w:r w:rsidRPr="004B60E6">
      <w:rPr>
        <w:szCs w:val="24"/>
        <w:rtl/>
      </w:rPr>
      <w:t>تدريبية 2015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F4A" w:rsidRPr="00B37D60" w:rsidRDefault="00DE0F4A" w:rsidP="0052246E">
    <w:pPr>
      <w:pStyle w:val="Footer"/>
      <w:tabs>
        <w:tab w:val="clear" w:pos="9356"/>
        <w:tab w:val="right" w:pos="14570"/>
      </w:tabs>
    </w:pPr>
    <w:r w:rsidRPr="00B37D60">
      <w:rPr>
        <w:szCs w:val="24"/>
        <w:rtl/>
      </w:rPr>
      <w:t>الجز</w:t>
    </w:r>
    <w:r w:rsidRPr="00B37D60">
      <w:rPr>
        <w:rFonts w:hint="cs"/>
        <w:szCs w:val="24"/>
        <w:rtl/>
      </w:rPr>
      <w:t>ء</w:t>
    </w:r>
    <w:r w:rsidRPr="00B37D60">
      <w:rPr>
        <w:szCs w:val="24"/>
        <w:rtl/>
      </w:rPr>
      <w:t xml:space="preserve"> "أ"</w:t>
    </w:r>
    <w:r w:rsidRPr="00B37D60">
      <w:rPr>
        <w:rFonts w:hint="cs"/>
        <w:szCs w:val="24"/>
        <w:rtl/>
      </w:rPr>
      <w:t>9</w:t>
    </w:r>
    <w:r w:rsidRPr="00B37D60">
      <w:rPr>
        <w:szCs w:val="24"/>
        <w:rtl/>
      </w:rPr>
      <w:t xml:space="preserve">: </w:t>
    </w:r>
    <w:proofErr w:type="spellStart"/>
    <w:r w:rsidRPr="00B37D60">
      <w:rPr>
        <w:rFonts w:hint="cs"/>
        <w:szCs w:val="24"/>
        <w:rtl/>
      </w:rPr>
      <w:t>اسفير</w:t>
    </w:r>
    <w:proofErr w:type="spellEnd"/>
    <w:r w:rsidRPr="00B37D60">
      <w:rPr>
        <w:rFonts w:hint="cs"/>
        <w:szCs w:val="24"/>
        <w:rtl/>
      </w:rPr>
      <w:t xml:space="preserve"> والميثاق الإنساني </w:t>
    </w:r>
    <w:r w:rsidRPr="00B37D60">
      <w:tab/>
    </w:r>
    <w:r w:rsidR="0052246E" w:rsidRPr="004B60E6">
      <w:rPr>
        <w:rFonts w:hint="cs"/>
        <w:szCs w:val="24"/>
        <w:rtl/>
        <w:lang w:bidi="ar-TN"/>
      </w:rPr>
      <w:t>مجموعة</w:t>
    </w:r>
    <w:r w:rsidR="0052246E" w:rsidRPr="004B60E6">
      <w:rPr>
        <w:szCs w:val="24"/>
        <w:rtl/>
      </w:rPr>
      <w:t xml:space="preserve"> </w:t>
    </w:r>
    <w:proofErr w:type="spellStart"/>
    <w:r w:rsidR="0052246E" w:rsidRPr="004B60E6">
      <w:rPr>
        <w:szCs w:val="24"/>
        <w:rtl/>
      </w:rPr>
      <w:t>اسفير</w:t>
    </w:r>
    <w:proofErr w:type="spellEnd"/>
    <w:r w:rsidR="0052246E" w:rsidRPr="004B60E6">
      <w:rPr>
        <w:szCs w:val="24"/>
        <w:rtl/>
      </w:rPr>
      <w:t xml:space="preserve"> </w:t>
    </w:r>
    <w:r w:rsidR="0052246E" w:rsidRPr="004B60E6">
      <w:rPr>
        <w:rFonts w:hint="cs"/>
        <w:szCs w:val="24"/>
        <w:rtl/>
      </w:rPr>
      <w:t>ال</w:t>
    </w:r>
    <w:r w:rsidR="0052246E" w:rsidRPr="004B60E6">
      <w:rPr>
        <w:szCs w:val="24"/>
        <w:rtl/>
      </w:rPr>
      <w:t>تدريبية 2015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F4A" w:rsidRPr="00B37D60" w:rsidRDefault="00DE0F4A" w:rsidP="0052246E">
    <w:pPr>
      <w:pStyle w:val="Footer"/>
      <w:tabs>
        <w:tab w:val="clear" w:pos="9356"/>
        <w:tab w:val="right" w:pos="14570"/>
      </w:tabs>
    </w:pPr>
    <w:r w:rsidRPr="00B37D60">
      <w:rPr>
        <w:szCs w:val="24"/>
        <w:rtl/>
      </w:rPr>
      <w:t>الجز</w:t>
    </w:r>
    <w:r w:rsidRPr="00B37D60">
      <w:rPr>
        <w:rFonts w:hint="cs"/>
        <w:szCs w:val="24"/>
        <w:rtl/>
      </w:rPr>
      <w:t>ء</w:t>
    </w:r>
    <w:r w:rsidRPr="00B37D60">
      <w:rPr>
        <w:szCs w:val="24"/>
        <w:rtl/>
      </w:rPr>
      <w:t xml:space="preserve"> "أ"</w:t>
    </w:r>
    <w:r w:rsidRPr="00B37D60">
      <w:rPr>
        <w:rFonts w:hint="cs"/>
        <w:szCs w:val="24"/>
        <w:rtl/>
      </w:rPr>
      <w:t>9</w:t>
    </w:r>
    <w:r w:rsidRPr="00B37D60">
      <w:rPr>
        <w:szCs w:val="24"/>
        <w:rtl/>
      </w:rPr>
      <w:t xml:space="preserve">: </w:t>
    </w:r>
    <w:proofErr w:type="spellStart"/>
    <w:r w:rsidRPr="00B37D60">
      <w:rPr>
        <w:rFonts w:hint="cs"/>
        <w:szCs w:val="24"/>
        <w:rtl/>
      </w:rPr>
      <w:t>اسفير</w:t>
    </w:r>
    <w:proofErr w:type="spellEnd"/>
    <w:r w:rsidRPr="00B37D60">
      <w:rPr>
        <w:rFonts w:hint="cs"/>
        <w:szCs w:val="24"/>
        <w:rtl/>
      </w:rPr>
      <w:t xml:space="preserve"> والميثاق الإنساني </w:t>
    </w:r>
    <w:r w:rsidRPr="00B37D60">
      <w:tab/>
    </w:r>
    <w:r w:rsidR="0052246E" w:rsidRPr="004B60E6">
      <w:rPr>
        <w:rFonts w:hint="cs"/>
        <w:szCs w:val="24"/>
        <w:rtl/>
        <w:lang w:bidi="ar-TN"/>
      </w:rPr>
      <w:t>مجموعة</w:t>
    </w:r>
    <w:r w:rsidR="0052246E" w:rsidRPr="004B60E6">
      <w:rPr>
        <w:szCs w:val="24"/>
        <w:rtl/>
      </w:rPr>
      <w:t xml:space="preserve"> </w:t>
    </w:r>
    <w:proofErr w:type="spellStart"/>
    <w:r w:rsidR="0052246E" w:rsidRPr="004B60E6">
      <w:rPr>
        <w:szCs w:val="24"/>
        <w:rtl/>
      </w:rPr>
      <w:t>اسفير</w:t>
    </w:r>
    <w:proofErr w:type="spellEnd"/>
    <w:r w:rsidR="0052246E" w:rsidRPr="004B60E6">
      <w:rPr>
        <w:szCs w:val="24"/>
        <w:rtl/>
      </w:rPr>
      <w:t xml:space="preserve"> </w:t>
    </w:r>
    <w:r w:rsidR="0052246E" w:rsidRPr="004B60E6">
      <w:rPr>
        <w:rFonts w:hint="cs"/>
        <w:szCs w:val="24"/>
        <w:rtl/>
      </w:rPr>
      <w:t>ال</w:t>
    </w:r>
    <w:r w:rsidR="0052246E" w:rsidRPr="004B60E6">
      <w:rPr>
        <w:szCs w:val="24"/>
        <w:rtl/>
      </w:rPr>
      <w:t>تدريبية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CF8" w:rsidRDefault="00B34CF8" w:rsidP="00782BA8">
      <w:pPr>
        <w:spacing w:before="0"/>
      </w:pPr>
      <w:r>
        <w:separator/>
      </w:r>
    </w:p>
  </w:footnote>
  <w:footnote w:type="continuationSeparator" w:id="0">
    <w:p w:rsidR="00B34CF8" w:rsidRDefault="00B34CF8" w:rsidP="00782BA8">
      <w:pPr>
        <w:spacing w:before="0"/>
      </w:pPr>
      <w:r>
        <w:continuationSeparator/>
      </w:r>
    </w:p>
  </w:footnote>
  <w:footnote w:id="1">
    <w:p w:rsidR="00782BA8" w:rsidRPr="001220E9" w:rsidRDefault="001E5197" w:rsidP="001E5197">
      <w:pPr>
        <w:pStyle w:val="FootnoteText"/>
        <w:rPr>
          <w:rtl/>
          <w:lang w:bidi="ar-TN"/>
        </w:rPr>
      </w:pPr>
      <w:r>
        <w:t xml:space="preserve"> </w:t>
      </w:r>
      <w:r w:rsidR="00782BA8">
        <w:footnoteRef/>
      </w:r>
      <w:r w:rsidR="00782BA8" w:rsidRPr="001220E9">
        <w:rPr>
          <w:rtl/>
        </w:rPr>
        <w:t>مقتطف من أعمال المساعدة</w:t>
      </w:r>
      <w:r w:rsidR="00782BA8">
        <w:rPr>
          <w:lang w:bidi="ar-TN"/>
        </w:rPr>
        <w:t xml:space="preserve">Action </w:t>
      </w:r>
      <w:proofErr w:type="gramStart"/>
      <w:r w:rsidR="00782BA8">
        <w:rPr>
          <w:lang w:bidi="ar-TN"/>
        </w:rPr>
        <w:t xml:space="preserve">Aid </w:t>
      </w:r>
      <w:r w:rsidR="00782BA8" w:rsidRPr="001220E9">
        <w:rPr>
          <w:rtl/>
        </w:rPr>
        <w:t xml:space="preserve"> </w:t>
      </w:r>
      <w:r>
        <w:rPr>
          <w:rFonts w:hint="cs"/>
          <w:rtl/>
        </w:rPr>
        <w:t>"</w:t>
      </w:r>
      <w:r w:rsidR="00782BA8" w:rsidRPr="001220E9">
        <w:rPr>
          <w:rtl/>
        </w:rPr>
        <w:t>النهج</w:t>
      </w:r>
      <w:proofErr w:type="gramEnd"/>
      <w:r w:rsidR="00782BA8" w:rsidRPr="001220E9">
        <w:rPr>
          <w:rtl/>
        </w:rPr>
        <w:t xml:space="preserve"> القائم على الحقوق في حالات الطوارئ: دليل المبتدئين</w:t>
      </w:r>
      <w:r>
        <w:rPr>
          <w:rFonts w:hint="cs"/>
          <w:rtl/>
          <w:lang w:bidi="ar-TN"/>
        </w:rPr>
        <w:t>"</w:t>
      </w:r>
    </w:p>
  </w:footnote>
  <w:footnote w:id="2">
    <w:p w:rsidR="00782BA8" w:rsidRDefault="00782BA8" w:rsidP="001E5197">
      <w:pPr>
        <w:pStyle w:val="FootnoteText"/>
        <w:rPr>
          <w:rtl/>
          <w:lang w:bidi="ar-TN"/>
        </w:rPr>
      </w:pPr>
      <w:r w:rsidRPr="001220E9">
        <w:footnoteRef/>
      </w:r>
      <w:r w:rsidRPr="001220E9">
        <w:rPr>
          <w:rtl/>
          <w:lang w:val="fr-FR"/>
        </w:rPr>
        <w:t xml:space="preserve"> </w:t>
      </w:r>
      <w:r w:rsidR="001E5197">
        <w:rPr>
          <w:lang w:val="fr-FR"/>
        </w:rPr>
        <w:t xml:space="preserve"> </w:t>
      </w:r>
      <w:hyperlink r:id="rId1" w:history="1">
        <w:r w:rsidR="001E5197" w:rsidRPr="001220E9">
          <w:rPr>
            <w:lang w:val="fr-FR"/>
          </w:rPr>
          <w:t>www.ohchr.org/Documents/Publications/FAQen.pdf</w:t>
        </w:r>
      </w:hyperlink>
      <w:r w:rsidRPr="001220E9">
        <w:rPr>
          <w:rtl/>
          <w:lang w:val="fr-FR"/>
        </w:rPr>
        <w:t>الصفحة 15</w:t>
      </w:r>
    </w:p>
  </w:footnote>
  <w:footnote w:id="3">
    <w:p w:rsidR="00782BA8" w:rsidRPr="00357B1C" w:rsidRDefault="001E5197" w:rsidP="00826394">
      <w:pPr>
        <w:pStyle w:val="FootnoteText"/>
        <w:rPr>
          <w:rtl/>
          <w:lang w:val="fr-FR" w:bidi="ar-TN"/>
        </w:rPr>
      </w:pPr>
      <w:r>
        <w:rPr>
          <w:lang w:bidi="ar-TN"/>
        </w:rPr>
        <w:t xml:space="preserve"> </w:t>
      </w:r>
      <w:r w:rsidR="00782BA8">
        <w:footnoteRef/>
      </w:r>
      <w:r w:rsidR="00782BA8" w:rsidRPr="00357B1C">
        <w:rPr>
          <w:rtl/>
          <w:lang w:bidi="ar-TN"/>
        </w:rPr>
        <w:t>دا</w:t>
      </w:r>
      <w:r w:rsidR="007C40B8">
        <w:rPr>
          <w:rFonts w:hint="cs"/>
          <w:rtl/>
          <w:lang w:bidi="ar-TN"/>
        </w:rPr>
        <w:t>ر</w:t>
      </w:r>
      <w:bookmarkStart w:id="0" w:name="_GoBack"/>
      <w:bookmarkEnd w:id="0"/>
      <w:r w:rsidR="00782BA8" w:rsidRPr="00357B1C">
        <w:rPr>
          <w:rtl/>
          <w:lang w:bidi="ar-TN"/>
        </w:rPr>
        <w:t xml:space="preserve">سي </w:t>
      </w:r>
      <w:proofErr w:type="spellStart"/>
      <w:r w:rsidR="00782BA8" w:rsidRPr="00357B1C">
        <w:rPr>
          <w:rtl/>
          <w:lang w:bidi="ar-TN"/>
        </w:rPr>
        <w:t>وهاوفمان</w:t>
      </w:r>
      <w:proofErr w:type="spellEnd"/>
      <w:r w:rsidR="00782BA8" w:rsidRPr="00357B1C">
        <w:rPr>
          <w:rtl/>
          <w:lang w:bidi="ar-TN"/>
        </w:rPr>
        <w:t xml:space="preserve"> "وفقا للاحتياجات؟ </w:t>
      </w:r>
      <w:proofErr w:type="gramStart"/>
      <w:r w:rsidR="00782BA8" w:rsidRPr="00357B1C">
        <w:rPr>
          <w:rtl/>
          <w:lang w:val="fr-FR" w:bidi="ar-TN"/>
        </w:rPr>
        <w:t>تقييم</w:t>
      </w:r>
      <w:proofErr w:type="gramEnd"/>
      <w:r w:rsidR="00782BA8" w:rsidRPr="00357B1C">
        <w:rPr>
          <w:rtl/>
          <w:lang w:val="fr-FR" w:bidi="ar-TN"/>
        </w:rPr>
        <w:t xml:space="preserve"> الاحتياجات واتخاذ القرار في قطاع العمل الإنساني" تقرير 15 سبتمبر 2003 صفحة 27.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E6" w:rsidRDefault="004B60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C3" w:rsidRPr="00D222C3" w:rsidRDefault="004B60E6" w:rsidP="004B60E6">
    <w:pPr>
      <w:pStyle w:val="Header"/>
      <w:rPr>
        <w:rtl/>
      </w:rPr>
    </w:pPr>
    <w:r>
      <w:rPr>
        <w:rFonts w:hint="cs"/>
        <w:rtl/>
      </w:rPr>
      <w:t xml:space="preserve">    </w:t>
    </w:r>
    <w:r>
      <w:tab/>
    </w:r>
    <w:r>
      <w:tab/>
      <w:t xml:space="preserve">  </w:t>
    </w:r>
    <w:r>
      <w:rPr>
        <w:rFonts w:hint="cs"/>
        <w:rtl/>
      </w:rPr>
      <w:t xml:space="preserve">  </w:t>
    </w:r>
    <w:r>
      <w:t xml:space="preserve"> </w:t>
    </w:r>
    <w:r>
      <w:rPr>
        <w:rFonts w:hint="cs"/>
        <w:rtl/>
      </w:rPr>
      <w:t xml:space="preserve">       </w:t>
    </w:r>
    <w:r>
      <w:t xml:space="preserve">       </w:t>
    </w:r>
    <w:proofErr w:type="gramStart"/>
    <w:r>
      <w:rPr>
        <w:rtl/>
      </w:rPr>
      <w:t>المادة</w:t>
    </w:r>
    <w:proofErr w:type="gramEnd"/>
    <w:r>
      <w:rPr>
        <w:rtl/>
      </w:rPr>
      <w:t xml:space="preserve"> التدريبي</w:t>
    </w:r>
    <w:r>
      <w:rPr>
        <w:rFonts w:hint="cs"/>
        <w:rtl/>
      </w:rPr>
      <w:t>ة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D60" w:rsidRPr="004B60E6" w:rsidRDefault="00B37D60" w:rsidP="00934069">
    <w:pPr>
      <w:pStyle w:val="Heading1"/>
      <w:rPr>
        <w:rFonts w:eastAsia="Times New Roman"/>
        <w:color w:val="579305" w:themeColor="accent1"/>
        <w:rtl/>
      </w:rPr>
    </w:pPr>
    <w:r w:rsidRPr="004B60E6">
      <w:rPr>
        <w:rFonts w:eastAsia="Times New Roman" w:hint="cs"/>
        <w:sz w:val="32"/>
        <w:rtl/>
      </w:rPr>
      <w:t>الجزء</w:t>
    </w:r>
    <w:r w:rsidRPr="004B60E6">
      <w:rPr>
        <w:rFonts w:eastAsia="Times New Roman"/>
        <w:sz w:val="32"/>
        <w:rtl/>
      </w:rPr>
      <w:t xml:space="preserve"> "أ" </w:t>
    </w:r>
    <w:r w:rsidR="00934069" w:rsidRPr="004B60E6">
      <w:rPr>
        <w:rFonts w:eastAsia="Times New Roman"/>
        <w:sz w:val="32"/>
      </w:rPr>
      <w:t>9</w:t>
    </w:r>
    <w:r w:rsidRPr="004B60E6">
      <w:rPr>
        <w:rFonts w:eastAsia="Times New Roman"/>
        <w:sz w:val="32"/>
        <w:rtl/>
      </w:rPr>
      <w:t xml:space="preserve">: </w:t>
    </w:r>
    <w:proofErr w:type="spellStart"/>
    <w:r w:rsidRPr="004B60E6">
      <w:rPr>
        <w:rFonts w:eastAsia="Times New Roman" w:hint="cs"/>
        <w:sz w:val="32"/>
        <w:rtl/>
      </w:rPr>
      <w:t>اسفير</w:t>
    </w:r>
    <w:proofErr w:type="spellEnd"/>
    <w:r w:rsidRPr="004B60E6">
      <w:rPr>
        <w:rFonts w:hint="cs"/>
        <w:sz w:val="32"/>
        <w:rtl/>
      </w:rPr>
      <w:t xml:space="preserve"> والميثاق الإنسان</w:t>
    </w:r>
    <w:r w:rsidR="009C49F4" w:rsidRPr="004B60E6">
      <w:rPr>
        <w:rFonts w:hint="cs"/>
        <w:sz w:val="32"/>
        <w:rtl/>
        <w:lang w:val="fr-CH" w:bidi="ar-TN"/>
      </w:rPr>
      <w:t>ي</w:t>
    </w:r>
    <w:r w:rsidRPr="004B60E6">
      <w:rPr>
        <w:rFonts w:ascii="Cambria" w:eastAsia="Times New Roman" w:hAnsi="Cambria" w:cs="Times New Roman"/>
      </w:rPr>
      <w:tab/>
    </w:r>
    <w:r w:rsidRPr="004B60E6">
      <w:rPr>
        <w:rFonts w:eastAsia="Times New Roman"/>
        <w:color w:val="579305" w:themeColor="accent1"/>
        <w:rtl/>
      </w:rPr>
      <w:t>المادة التدريبية</w:t>
    </w:r>
  </w:p>
  <w:p w:rsidR="00B37D60" w:rsidRPr="0052246E" w:rsidRDefault="0052246E" w:rsidP="0052246E">
    <w:pPr>
      <w:pStyle w:val="Heading2"/>
      <w:rPr>
        <w:rFonts w:eastAsia="MS PGothic"/>
        <w:lang w:bidi="ar-TN"/>
      </w:rPr>
    </w:pPr>
    <w:r w:rsidRPr="004B60E6">
      <w:rPr>
        <w:rFonts w:eastAsia="MS PGothic" w:hint="cs"/>
        <w:rtl/>
        <w:lang w:bidi="ar-TN"/>
      </w:rPr>
      <w:t xml:space="preserve">لماذا وكيف يجب عليك الاستعانة بالميثاق الإنساني </w:t>
    </w:r>
    <w:proofErr w:type="gramStart"/>
    <w:r w:rsidRPr="004B60E6">
      <w:rPr>
        <w:rFonts w:eastAsia="MS PGothic" w:hint="cs"/>
        <w:rtl/>
        <w:lang w:bidi="ar-TN"/>
      </w:rPr>
      <w:t>في</w:t>
    </w:r>
    <w:proofErr w:type="gramEnd"/>
    <w:r w:rsidRPr="004B60E6">
      <w:rPr>
        <w:rFonts w:eastAsia="MS PGothic" w:hint="cs"/>
        <w:rtl/>
        <w:lang w:bidi="ar-TN"/>
      </w:rPr>
      <w:t xml:space="preserve"> عملك؟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462" w:rsidRDefault="003D2462" w:rsidP="00363A34">
    <w:pPr>
      <w:pStyle w:val="Header"/>
      <w:tabs>
        <w:tab w:val="clear" w:pos="4320"/>
        <w:tab w:val="clear" w:pos="8640"/>
        <w:tab w:val="right" w:pos="14570"/>
      </w:tabs>
    </w:pPr>
    <w:r w:rsidRPr="00363A34">
      <w:rPr>
        <w:color w:val="004386" w:themeColor="text2"/>
        <w:rtl/>
      </w:rPr>
      <w:t>على أي وضع نتحدث وماهي القوانين التي يجب تطبيقها؟</w:t>
    </w:r>
    <w:r>
      <w:rPr>
        <w:rtl/>
      </w:rPr>
      <w:tab/>
    </w:r>
    <w:proofErr w:type="gramStart"/>
    <w:r w:rsidRPr="003D2462">
      <w:rPr>
        <w:rtl/>
      </w:rPr>
      <w:t>المادة</w:t>
    </w:r>
    <w:proofErr w:type="gramEnd"/>
    <w:r w:rsidRPr="003D2462">
      <w:rPr>
        <w:rtl/>
      </w:rPr>
      <w:t xml:space="preserve"> التدريبية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462" w:rsidRPr="00B37D60" w:rsidRDefault="003D2462" w:rsidP="003D2462">
    <w:pPr>
      <w:pStyle w:val="Header"/>
      <w:tabs>
        <w:tab w:val="clear" w:pos="4320"/>
        <w:tab w:val="clear" w:pos="8640"/>
        <w:tab w:val="right" w:pos="14570"/>
      </w:tabs>
    </w:pPr>
    <w:r w:rsidRPr="003D2462">
      <w:rPr>
        <w:color w:val="004386" w:themeColor="text2"/>
        <w:rtl/>
      </w:rPr>
      <w:t xml:space="preserve">نظرة عامة: مصادر من القانون الدولي التي  يسترشد بها </w:t>
    </w:r>
    <w:proofErr w:type="spellStart"/>
    <w:r w:rsidRPr="003D2462">
      <w:rPr>
        <w:color w:val="004386" w:themeColor="text2"/>
        <w:rtl/>
      </w:rPr>
      <w:t>اسفير</w:t>
    </w:r>
    <w:proofErr w:type="spellEnd"/>
    <w:r w:rsidRPr="003D2462">
      <w:rPr>
        <w:rtl/>
      </w:rPr>
      <w:tab/>
      <w:t>المادة التدريبية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D7DD3"/>
    <w:multiLevelType w:val="hybridMultilevel"/>
    <w:tmpl w:val="878EC716"/>
    <w:lvl w:ilvl="0" w:tplc="AEB25D8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5672F"/>
    <w:multiLevelType w:val="hybridMultilevel"/>
    <w:tmpl w:val="B87E6C34"/>
    <w:lvl w:ilvl="0" w:tplc="79C27736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BA8"/>
    <w:rsid w:val="00035AC6"/>
    <w:rsid w:val="000C5E6F"/>
    <w:rsid w:val="001B2A14"/>
    <w:rsid w:val="001E5197"/>
    <w:rsid w:val="00363A34"/>
    <w:rsid w:val="003D2462"/>
    <w:rsid w:val="004B60E6"/>
    <w:rsid w:val="00517745"/>
    <w:rsid w:val="0052246E"/>
    <w:rsid w:val="006A00C6"/>
    <w:rsid w:val="006D783A"/>
    <w:rsid w:val="00782BA8"/>
    <w:rsid w:val="00793E28"/>
    <w:rsid w:val="007C40B8"/>
    <w:rsid w:val="00810A0B"/>
    <w:rsid w:val="00826394"/>
    <w:rsid w:val="008A28FB"/>
    <w:rsid w:val="008F68DC"/>
    <w:rsid w:val="00934069"/>
    <w:rsid w:val="009C49F4"/>
    <w:rsid w:val="00AB5354"/>
    <w:rsid w:val="00B34CF8"/>
    <w:rsid w:val="00B37D60"/>
    <w:rsid w:val="00B94FEB"/>
    <w:rsid w:val="00C542B4"/>
    <w:rsid w:val="00CF6561"/>
    <w:rsid w:val="00D222C3"/>
    <w:rsid w:val="00DA6621"/>
    <w:rsid w:val="00DE0F4A"/>
    <w:rsid w:val="00E96D6C"/>
    <w:rsid w:val="00F32FD1"/>
    <w:rsid w:val="00F52E88"/>
    <w:rsid w:val="00F64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header" w:uiPriority="0"/>
    <w:lsdException w:name="footer" w:uiPriority="1"/>
    <w:lsdException w:name="caption" w:uiPriority="35" w:qFormat="1"/>
    <w:lsdException w:name="footnote reference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826394"/>
    <w:pPr>
      <w:keepLines/>
      <w:bidi/>
      <w:spacing w:before="160" w:after="0" w:line="240" w:lineRule="auto"/>
    </w:pPr>
    <w:rPr>
      <w:rFonts w:ascii="Traditional Arabic" w:eastAsia="Times New Roman" w:hAnsi="Traditional Arabic" w:cs="Traditional Arabic"/>
      <w:sz w:val="24"/>
      <w:szCs w:val="28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B37D60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6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B37D60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F52E88"/>
    <w:pPr>
      <w:pBdr>
        <w:bottom w:val="none" w:sz="0" w:space="0" w:color="auto"/>
      </w:pBdr>
      <w:spacing w:before="320"/>
      <w:outlineLvl w:val="2"/>
    </w:pPr>
    <w:rPr>
      <w:bCs/>
      <w:i w:val="0"/>
      <w:iCs w:val="0"/>
      <w:sz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F52E88"/>
    <w:pPr>
      <w:spacing w:before="240"/>
      <w:outlineLvl w:val="3"/>
    </w:pPr>
    <w:rPr>
      <w:rFonts w:eastAsia="Traditional Arabic"/>
      <w:szCs w:val="28"/>
    </w:rPr>
  </w:style>
  <w:style w:type="paragraph" w:styleId="Heading5">
    <w:name w:val="heading 5"/>
    <w:basedOn w:val="Normal"/>
    <w:next w:val="Normal"/>
    <w:link w:val="Heading5Char"/>
    <w:qFormat/>
    <w:rsid w:val="00F52E88"/>
    <w:pPr>
      <w:keepNext/>
      <w:spacing w:before="360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5354"/>
    <w:pPr>
      <w:pBdr>
        <w:bottom w:val="dotted" w:sz="6" w:space="1" w:color="579305" w:themeColor="accent1"/>
      </w:pBdr>
      <w:spacing w:before="300"/>
      <w:outlineLvl w:val="5"/>
    </w:pPr>
    <w:rPr>
      <w:caps/>
      <w:color w:val="406D03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5354"/>
    <w:pPr>
      <w:spacing w:before="300"/>
      <w:outlineLvl w:val="6"/>
    </w:pPr>
    <w:rPr>
      <w:caps/>
      <w:color w:val="406D03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5354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5354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B37D60"/>
    <w:rPr>
      <w:rFonts w:ascii="Traditional Arabic" w:eastAsiaTheme="majorEastAsia" w:hAnsi="Traditional Arabic" w:cs="Traditional Arabic"/>
      <w:b/>
      <w:bCs/>
      <w:color w:val="004386"/>
      <w:kern w:val="32"/>
      <w:sz w:val="36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B37D60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6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F52E88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32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F52E88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F52E88"/>
    <w:rPr>
      <w:rFonts w:ascii="Traditional Arabic" w:eastAsia="Times New Roman" w:hAnsi="Traditional Arabic" w:cs="Traditional Arabic"/>
      <w:b/>
      <w:bCs/>
      <w:sz w:val="24"/>
      <w:szCs w:val="28"/>
      <w:lang w:val="en-GB" w:eastAsia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5354"/>
    <w:rPr>
      <w:caps/>
      <w:color w:val="406D0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5354"/>
    <w:rPr>
      <w:caps/>
      <w:color w:val="406D0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5354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5354"/>
    <w:rPr>
      <w:i/>
      <w:caps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D60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D60"/>
    <w:rPr>
      <w:rFonts w:ascii="Traditional Arabic" w:eastAsia="Times New Roman" w:hAnsi="Traditional Arabic" w:cs="Tahoma"/>
      <w:sz w:val="16"/>
      <w:szCs w:val="16"/>
      <w:lang w:val="en-GB" w:eastAsia="es-ES"/>
    </w:rPr>
  </w:style>
  <w:style w:type="paragraph" w:customStyle="1" w:styleId="bullet">
    <w:name w:val="bullet"/>
    <w:aliases w:val="b"/>
    <w:basedOn w:val="Normal"/>
    <w:qFormat/>
    <w:rsid w:val="00B37D60"/>
    <w:pPr>
      <w:numPr>
        <w:numId w:val="1"/>
      </w:numPr>
      <w:spacing w:before="80"/>
    </w:pPr>
  </w:style>
  <w:style w:type="paragraph" w:styleId="Caption">
    <w:name w:val="caption"/>
    <w:basedOn w:val="Normal"/>
    <w:next w:val="Normal"/>
    <w:uiPriority w:val="35"/>
    <w:semiHidden/>
    <w:qFormat/>
    <w:rsid w:val="00B37D60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D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D60"/>
    <w:rPr>
      <w:rFonts w:ascii="Traditional Arabic" w:eastAsia="Times New Roman" w:hAnsi="Traditional Arabic" w:cs="Traditional Arabic"/>
      <w:sz w:val="24"/>
      <w:szCs w:val="20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D60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D60"/>
    <w:rPr>
      <w:rFonts w:ascii="Traditional Arabic" w:eastAsia="Times New Roman" w:hAnsi="Traditional Arabic" w:cs="Traditional Arabic"/>
      <w:b/>
      <w:sz w:val="24"/>
      <w:szCs w:val="20"/>
      <w:lang w:val="en-GB" w:eastAsia="es-ES"/>
    </w:rPr>
  </w:style>
  <w:style w:type="character" w:styleId="Emphasis">
    <w:name w:val="Emphasis"/>
    <w:qFormat/>
    <w:rsid w:val="00B37D60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37D60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B37D60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B37D60"/>
    <w:rPr>
      <w:rFonts w:ascii="Traditional Arabic" w:eastAsia="Times New Roman" w:hAnsi="Traditional Arabic" w:cs="Traditional Arabic"/>
      <w:color w:val="004386" w:themeColor="text2"/>
      <w:sz w:val="24"/>
      <w:szCs w:val="28"/>
      <w:lang w:val="en-GB" w:eastAsia="es-ES"/>
    </w:rPr>
  </w:style>
  <w:style w:type="paragraph" w:styleId="Header">
    <w:name w:val="header"/>
    <w:basedOn w:val="Normal"/>
    <w:link w:val="HeaderChar"/>
    <w:rsid w:val="00B37D60"/>
    <w:pPr>
      <w:pBdr>
        <w:bottom w:val="single" w:sz="4" w:space="4" w:color="004386" w:themeColor="text2"/>
      </w:pBdr>
      <w:tabs>
        <w:tab w:val="center" w:pos="4320"/>
        <w:tab w:val="right" w:pos="8640"/>
      </w:tabs>
      <w:spacing w:before="0"/>
    </w:pPr>
    <w:rPr>
      <w:b/>
      <w:bCs/>
      <w:color w:val="579305" w:themeColor="accent1"/>
      <w:sz w:val="28"/>
      <w:lang w:val="fr-FR" w:eastAsia="en-US" w:bidi="ar-TN"/>
    </w:rPr>
  </w:style>
  <w:style w:type="character" w:customStyle="1" w:styleId="HeaderChar">
    <w:name w:val="Header Char"/>
    <w:basedOn w:val="DefaultParagraphFont"/>
    <w:link w:val="Header"/>
    <w:rsid w:val="00B37D60"/>
    <w:rPr>
      <w:rFonts w:ascii="Traditional Arabic" w:eastAsia="Times New Roman" w:hAnsi="Traditional Arabic" w:cs="Traditional Arabic"/>
      <w:b/>
      <w:bCs/>
      <w:color w:val="579305" w:themeColor="accent1"/>
      <w:sz w:val="28"/>
      <w:szCs w:val="28"/>
      <w:lang w:val="fr-FR" w:bidi="ar-TN"/>
    </w:rPr>
  </w:style>
  <w:style w:type="character" w:styleId="Hyperlink">
    <w:name w:val="Hyperlink"/>
    <w:basedOn w:val="DefaultParagraphFont"/>
    <w:uiPriority w:val="1"/>
    <w:rsid w:val="00B37D60"/>
    <w:rPr>
      <w:rFonts w:ascii="Tahoma" w:hAnsi="Tahoma" w:cs="Traditional Arabic"/>
      <w:b w:val="0"/>
      <w:i w:val="0"/>
      <w:noProof/>
      <w:color w:val="004386"/>
      <w:sz w:val="24"/>
      <w:szCs w:val="24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37D60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B37D60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B37D60"/>
    <w:rPr>
      <w:rFonts w:asciiTheme="minorHAnsi" w:hAnsiTheme="minorHAnsi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5354"/>
    <w:pPr>
      <w:outlineLvl w:val="9"/>
    </w:pPr>
    <w:rPr>
      <w:lang w:bidi="en-US"/>
    </w:rPr>
  </w:style>
  <w:style w:type="paragraph" w:customStyle="1" w:styleId="table">
    <w:name w:val="table"/>
    <w:aliases w:val="t"/>
    <w:basedOn w:val="Normal"/>
    <w:qFormat/>
    <w:rsid w:val="00B37D60"/>
    <w:pPr>
      <w:spacing w:before="40" w:after="40"/>
    </w:pPr>
  </w:style>
  <w:style w:type="paragraph" w:customStyle="1" w:styleId="tablebullet">
    <w:name w:val="table bullet"/>
    <w:basedOn w:val="table"/>
    <w:qFormat/>
    <w:rsid w:val="00B37D60"/>
    <w:pPr>
      <w:numPr>
        <w:numId w:val="2"/>
      </w:numPr>
    </w:pPr>
  </w:style>
  <w:style w:type="table" w:styleId="TableGrid">
    <w:name w:val="Table Grid"/>
    <w:basedOn w:val="TableNormal"/>
    <w:uiPriority w:val="59"/>
    <w:rsid w:val="00B37D60"/>
    <w:pPr>
      <w:spacing w:before="0"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B37D60"/>
    <w:pPr>
      <w:keepNext/>
    </w:pPr>
    <w:rPr>
      <w:b/>
      <w:bCs/>
      <w:color w:val="004386" w:themeColor="text2"/>
    </w:rPr>
  </w:style>
  <w:style w:type="character" w:styleId="FootnoteReference">
    <w:name w:val="footnote reference"/>
    <w:basedOn w:val="DefaultParagraphFont"/>
    <w:rsid w:val="00826394"/>
    <w:rPr>
      <w:vertAlign w:val="superscript"/>
    </w:rPr>
  </w:style>
  <w:style w:type="paragraph" w:styleId="FootnoteText">
    <w:name w:val="footnote text"/>
    <w:basedOn w:val="Normal"/>
    <w:link w:val="FootnoteTextChar"/>
    <w:rsid w:val="00826394"/>
    <w:pPr>
      <w:spacing w:before="0"/>
    </w:pPr>
    <w:rPr>
      <w:sz w:val="20"/>
      <w:szCs w:val="22"/>
    </w:rPr>
  </w:style>
  <w:style w:type="character" w:customStyle="1" w:styleId="FootnoteTextChar">
    <w:name w:val="Footnote Text Char"/>
    <w:basedOn w:val="DefaultParagraphFont"/>
    <w:link w:val="FootnoteText"/>
    <w:rsid w:val="00826394"/>
    <w:rPr>
      <w:rFonts w:ascii="Traditional Arabic" w:eastAsia="Times New Roman" w:hAnsi="Traditional Arabic" w:cs="Traditional Arabic"/>
      <w:sz w:val="20"/>
      <w:lang w:val="en-GB" w:eastAsia="es-ES"/>
    </w:rPr>
  </w:style>
  <w:style w:type="paragraph" w:styleId="NormalWeb">
    <w:name w:val="Normal (Web)"/>
    <w:basedOn w:val="Normal"/>
    <w:uiPriority w:val="99"/>
    <w:semiHidden/>
    <w:unhideWhenUsed/>
    <w:rsid w:val="000C5E6F"/>
    <w:pPr>
      <w:keepLines w:val="0"/>
      <w:bidi w:val="0"/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hchr.org/Documents/Publications/FAQen.pdf" TargetMode="External"/></Relationships>
</file>

<file path=word/theme/theme1.xml><?xml version="1.0" encoding="utf-8"?>
<a:theme xmlns:a="http://schemas.openxmlformats.org/drawingml/2006/main" name="Speher Arabic ppt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Speher Arabic ppt theme" id="{E8BFA150-2B5B-48C8-8981-66A7178BA1E8}" vid="{5FA11942-FBDE-4059-82D6-9E5DA248BAA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425</Words>
  <Characters>2338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2015-04-30T12:59:00Z</dcterms:created>
  <dcterms:modified xsi:type="dcterms:W3CDTF">2015-04-30T14:41:00Z</dcterms:modified>
</cp:coreProperties>
</file>